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6E" w:rsidRDefault="0021586E" w:rsidP="0045566E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Exempt  Commercial  Policyholder Definitions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21586E" w:rsidRDefault="0021586E" w:rsidP="0045566E">
      <w:pPr>
        <w:pStyle w:val="Default"/>
        <w:rPr>
          <w:b/>
          <w:sz w:val="28"/>
          <w:szCs w:val="28"/>
        </w:rPr>
      </w:pPr>
    </w:p>
    <w:p w:rsidR="0045566E" w:rsidRPr="0021586E" w:rsidRDefault="0045566E" w:rsidP="0045566E">
      <w:pPr>
        <w:pStyle w:val="Default"/>
        <w:rPr>
          <w:b/>
          <w:sz w:val="28"/>
          <w:szCs w:val="28"/>
        </w:rPr>
      </w:pPr>
      <w:r w:rsidRPr="0021586E">
        <w:rPr>
          <w:b/>
          <w:sz w:val="28"/>
          <w:szCs w:val="28"/>
        </w:rPr>
        <w:t xml:space="preserve">”Exempt commercial policyholder” means any person who applies for or procures any kind of Type II insurance, except any purchaser of title insurance, through the use of a risk manager employed or retained by such person, and who meets at least one of the following qualifications: </w:t>
      </w:r>
    </w:p>
    <w:p w:rsidR="0045566E" w:rsidRPr="0021586E" w:rsidRDefault="0045566E" w:rsidP="0045566E">
      <w:pPr>
        <w:pStyle w:val="Default"/>
        <w:rPr>
          <w:b/>
          <w:sz w:val="28"/>
          <w:szCs w:val="28"/>
        </w:rPr>
      </w:pPr>
      <w:r w:rsidRPr="0021586E">
        <w:rPr>
          <w:b/>
          <w:sz w:val="28"/>
          <w:szCs w:val="28"/>
        </w:rPr>
        <w:t xml:space="preserve">1. Purchased Type II insurance with aggregate premiums in the sum of at least fifty thousand dollars ($50,000.00) during the most recently completed calendar year; </w:t>
      </w:r>
    </w:p>
    <w:p w:rsidR="0045566E" w:rsidRPr="0021586E" w:rsidRDefault="0045566E" w:rsidP="0045566E">
      <w:pPr>
        <w:pStyle w:val="Default"/>
        <w:rPr>
          <w:b/>
          <w:sz w:val="28"/>
          <w:szCs w:val="28"/>
        </w:rPr>
      </w:pPr>
      <w:r w:rsidRPr="0021586E">
        <w:rPr>
          <w:b/>
          <w:sz w:val="28"/>
          <w:szCs w:val="28"/>
        </w:rPr>
        <w:t xml:space="preserve">2. Has a net worth of at least ten million dollars ($10 million) as reported in the policyholder’s most recently issued financial statement, reviewed or audited by an independent certified public accountant; </w:t>
      </w:r>
    </w:p>
    <w:p w:rsidR="0045566E" w:rsidRPr="0021586E" w:rsidRDefault="0045566E" w:rsidP="0045566E">
      <w:pPr>
        <w:pStyle w:val="Default"/>
        <w:rPr>
          <w:b/>
          <w:sz w:val="28"/>
          <w:szCs w:val="28"/>
        </w:rPr>
      </w:pPr>
      <w:r w:rsidRPr="0021586E">
        <w:rPr>
          <w:b/>
          <w:sz w:val="28"/>
          <w:szCs w:val="28"/>
        </w:rPr>
        <w:t xml:space="preserve">3. Has annual net revenues or net sales of at least ten million dollars ($10 million) as reported in the policyholder’s most recently issued financial statement, reviewed or audited by an independent certified public accountant; </w:t>
      </w:r>
    </w:p>
    <w:p w:rsidR="0045566E" w:rsidRPr="0021586E" w:rsidRDefault="0045566E" w:rsidP="0045566E">
      <w:pPr>
        <w:pStyle w:val="Default"/>
        <w:rPr>
          <w:b/>
          <w:sz w:val="28"/>
          <w:szCs w:val="28"/>
        </w:rPr>
      </w:pPr>
      <w:r w:rsidRPr="0021586E">
        <w:rPr>
          <w:b/>
          <w:sz w:val="28"/>
          <w:szCs w:val="28"/>
        </w:rPr>
        <w:t xml:space="preserve">4. </w:t>
      </w:r>
      <w:proofErr w:type="gramStart"/>
      <w:r w:rsidRPr="0021586E">
        <w:rPr>
          <w:b/>
          <w:sz w:val="28"/>
          <w:szCs w:val="28"/>
        </w:rPr>
        <w:t>Employs</w:t>
      </w:r>
      <w:proofErr w:type="gramEnd"/>
      <w:r w:rsidRPr="0021586E">
        <w:rPr>
          <w:b/>
          <w:sz w:val="28"/>
          <w:szCs w:val="28"/>
        </w:rPr>
        <w:t xml:space="preserve"> at least twenty-five (25) full-time employees, either individually or, if the policyholder is a member of an affiliated group, collectively with all members of the affiliated group; </w:t>
      </w:r>
    </w:p>
    <w:p w:rsidR="0045566E" w:rsidRPr="0021586E" w:rsidRDefault="0045566E" w:rsidP="0045566E">
      <w:pPr>
        <w:pStyle w:val="Default"/>
        <w:rPr>
          <w:b/>
          <w:sz w:val="28"/>
          <w:szCs w:val="28"/>
        </w:rPr>
      </w:pPr>
      <w:r w:rsidRPr="0021586E">
        <w:rPr>
          <w:b/>
          <w:sz w:val="28"/>
          <w:szCs w:val="28"/>
        </w:rPr>
        <w:t xml:space="preserve">5. If the policyholder is a nonprofit organization, has an annual operating budget of at least two million five hundred thousand dollars ($2.5 million) for the most recently completed calendar or fiscal year, whichever applies; </w:t>
      </w:r>
    </w:p>
    <w:p w:rsidR="0045566E" w:rsidRPr="0021586E" w:rsidRDefault="0045566E" w:rsidP="0045566E">
      <w:pPr>
        <w:pStyle w:val="Default"/>
        <w:rPr>
          <w:b/>
          <w:sz w:val="28"/>
          <w:szCs w:val="28"/>
        </w:rPr>
      </w:pPr>
      <w:r w:rsidRPr="0021586E">
        <w:rPr>
          <w:b/>
          <w:sz w:val="28"/>
          <w:szCs w:val="28"/>
        </w:rPr>
        <w:t xml:space="preserve">6. If the policyholder is a public entity (as defined in § 24-75-601(1), C.R.S.), has an operating budget of at least ten million dollars ($10 million) for the most recently completed calendar or fiscal year, whichever applies; or </w:t>
      </w:r>
    </w:p>
    <w:p w:rsidR="007A7DC8" w:rsidRPr="0045566E" w:rsidRDefault="0045566E" w:rsidP="0045566E">
      <w:pPr>
        <w:rPr>
          <w:b/>
          <w:sz w:val="28"/>
          <w:szCs w:val="28"/>
        </w:rPr>
      </w:pPr>
      <w:r w:rsidRPr="0021586E">
        <w:rPr>
          <w:rFonts w:ascii="Arial" w:hAnsi="Arial"/>
          <w:b/>
          <w:sz w:val="28"/>
          <w:szCs w:val="28"/>
        </w:rPr>
        <w:t>7. If the policyholder is a municipality (as defined in § 31-1-101(6), C.R.S.), has a population of at least twenty thousand (20,000) as recorded in the latest Population of Municipalities and Counties published by the Division of Local Government, Colorado Department of Local Affairs</w:t>
      </w:r>
      <w:r w:rsidRPr="0045566E">
        <w:rPr>
          <w:b/>
          <w:sz w:val="28"/>
          <w:szCs w:val="28"/>
        </w:rPr>
        <w:t>.</w:t>
      </w:r>
    </w:p>
    <w:sectPr w:rsidR="007A7DC8" w:rsidRPr="00455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6E"/>
    <w:rsid w:val="0001232F"/>
    <w:rsid w:val="0021586E"/>
    <w:rsid w:val="0045566E"/>
    <w:rsid w:val="007A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56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56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2015-10-29T03:14:00Z</dcterms:created>
  <dcterms:modified xsi:type="dcterms:W3CDTF">2015-10-29T03:14:00Z</dcterms:modified>
</cp:coreProperties>
</file>